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0C" w:rsidRPr="005F775E" w:rsidRDefault="00D8320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F775E" w:rsidRDefault="000B28CD" w:rsidP="00192C42">
      <w:pPr>
        <w:spacing w:after="0" w:line="240" w:lineRule="auto"/>
        <w:rPr>
          <w:rFonts w:ascii="Arial" w:eastAsia="Times New Roman" w:hAnsi="Arial" w:cs="Arial"/>
          <w:b/>
          <w:color w:val="292929"/>
          <w:sz w:val="20"/>
          <w:szCs w:val="20"/>
        </w:rPr>
      </w:pPr>
      <w:hyperlink r:id="rId6" w:history="1">
        <w:r w:rsidR="005F775E" w:rsidRPr="005F775E">
          <w:rPr>
            <w:rFonts w:ascii="Arial" w:eastAsia="Times New Roman" w:hAnsi="Arial" w:cs="Arial"/>
            <w:color w:val="292929"/>
            <w:sz w:val="20"/>
            <w:szCs w:val="20"/>
          </w:rPr>
          <w:br/>
        </w:r>
        <w:r w:rsidR="005F775E" w:rsidRPr="005F775E">
          <w:rPr>
            <w:rFonts w:ascii="Arial" w:eastAsia="Times New Roman" w:hAnsi="Arial" w:cs="Arial"/>
            <w:b/>
            <w:color w:val="292929"/>
            <w:sz w:val="20"/>
            <w:szCs w:val="20"/>
          </w:rPr>
          <w:t>Reminder on violation on the whole market</w:t>
        </w:r>
      </w:hyperlink>
    </w:p>
    <w:p w:rsidR="00192C42" w:rsidRPr="00192C42" w:rsidRDefault="00192C42" w:rsidP="00192C42">
      <w:pPr>
        <w:spacing w:after="0" w:line="240" w:lineRule="auto"/>
        <w:rPr>
          <w:rFonts w:ascii="Arial" w:eastAsia="Times New Roman" w:hAnsi="Arial" w:cs="Arial"/>
          <w:b/>
          <w:color w:val="292929"/>
          <w:sz w:val="20"/>
          <w:szCs w:val="20"/>
        </w:rPr>
      </w:pPr>
    </w:p>
    <w:p w:rsidR="005F775E" w:rsidRPr="005F775E" w:rsidRDefault="005F775E">
      <w:pPr>
        <w:rPr>
          <w:rFonts w:ascii="Arial" w:hAnsi="Arial" w:cs="Arial"/>
          <w:sz w:val="20"/>
          <w:szCs w:val="20"/>
        </w:rPr>
      </w:pPr>
      <w:r w:rsidRPr="005F775E">
        <w:rPr>
          <w:rFonts w:ascii="Arial" w:hAnsi="Arial" w:cs="Arial"/>
          <w:color w:val="292929"/>
          <w:sz w:val="20"/>
          <w:szCs w:val="20"/>
          <w:shd w:val="clear" w:color="auto" w:fill="F8F8F8"/>
        </w:rPr>
        <w:t>Based on Regulation on organization and management of securities trading market of No. 455 /QD-SGDHN dated 20/6/2017 of  HNX</w:t>
      </w:r>
      <w:r w:rsidR="001E2327">
        <w:rPr>
          <w:rFonts w:ascii="Arial" w:hAnsi="Arial" w:cs="Arial"/>
          <w:color w:val="292929"/>
          <w:sz w:val="20"/>
          <w:szCs w:val="20"/>
          <w:shd w:val="clear" w:color="auto" w:fill="F8F8F8"/>
        </w:rPr>
        <w:t xml:space="preserve"> (Listing regulation)</w:t>
      </w:r>
      <w:r w:rsidRPr="005F775E">
        <w:rPr>
          <w:rFonts w:ascii="Arial" w:hAnsi="Arial" w:cs="Arial"/>
          <w:color w:val="292929"/>
          <w:sz w:val="20"/>
          <w:szCs w:val="20"/>
          <w:shd w:val="clear" w:color="auto" w:fill="F8F8F8"/>
        </w:rPr>
        <w:t>,  HNX announced a reminder on violation on the whole market for the following stock codes:</w:t>
      </w:r>
    </w:p>
    <w:tbl>
      <w:tblPr>
        <w:tblW w:w="3906" w:type="dxa"/>
        <w:tblInd w:w="93" w:type="dxa"/>
        <w:tblLook w:val="04A0" w:firstRow="1" w:lastRow="0" w:firstColumn="1" w:lastColumn="0" w:noHBand="0" w:noVBand="1"/>
      </w:tblPr>
      <w:tblGrid>
        <w:gridCol w:w="746"/>
        <w:gridCol w:w="1080"/>
        <w:gridCol w:w="2080"/>
      </w:tblGrid>
      <w:tr w:rsidR="005F775E" w:rsidRPr="005F775E" w:rsidTr="005F775E">
        <w:trPr>
          <w:trHeight w:val="7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Status</w:t>
            </w:r>
          </w:p>
        </w:tc>
      </w:tr>
      <w:tr w:rsidR="005F775E" w:rsidRPr="005F775E" w:rsidTr="005F775E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BT6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947D7C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CC4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947D7C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HAN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947D7C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HWS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947D7C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PSN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947D7C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PXA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947D7C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PXL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947D7C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SDH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947D7C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947D7C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TVN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Normal</w:t>
            </w:r>
          </w:p>
        </w:tc>
      </w:tr>
      <w:tr w:rsidR="005F775E" w:rsidRPr="005F775E" w:rsidTr="005F775E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AMP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FDG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KHL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63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NTB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PSG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PVA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PX1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PXC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SD3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STL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1970FF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VTG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restriction</w:t>
            </w:r>
          </w:p>
        </w:tc>
      </w:tr>
      <w:tr w:rsidR="005F775E" w:rsidRPr="005F775E" w:rsidTr="005F775E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BAM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suspended</w:t>
            </w:r>
          </w:p>
        </w:tc>
      </w:tr>
      <w:tr w:rsidR="005F775E" w:rsidRPr="005F775E" w:rsidTr="00D908E3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BGM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suspended</w:t>
            </w:r>
          </w:p>
        </w:tc>
      </w:tr>
      <w:tr w:rsidR="005F775E" w:rsidRPr="005F775E" w:rsidTr="00D908E3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CDO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suspended</w:t>
            </w:r>
          </w:p>
        </w:tc>
      </w:tr>
      <w:tr w:rsidR="005F775E" w:rsidRPr="005F775E" w:rsidTr="00D908E3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KSA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suspended</w:t>
            </w:r>
          </w:p>
        </w:tc>
      </w:tr>
      <w:tr w:rsidR="005F775E" w:rsidRPr="005F775E" w:rsidTr="00D908E3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KSS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suspended</w:t>
            </w:r>
          </w:p>
        </w:tc>
      </w:tr>
      <w:tr w:rsidR="005F775E" w:rsidRPr="005F775E" w:rsidTr="00D908E3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KTB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suspended</w:t>
            </w:r>
          </w:p>
        </w:tc>
      </w:tr>
      <w:tr w:rsidR="005F775E" w:rsidRPr="005F775E" w:rsidTr="00D908E3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MTM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suspended</w:t>
            </w:r>
          </w:p>
        </w:tc>
      </w:tr>
      <w:tr w:rsidR="005F775E" w:rsidRPr="005F775E" w:rsidTr="00D908E3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PTK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suspended</w:t>
            </w:r>
          </w:p>
        </w:tc>
      </w:tr>
      <w:tr w:rsidR="005F775E" w:rsidRPr="005F775E" w:rsidTr="00D908E3">
        <w:trPr>
          <w:trHeight w:val="34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5E" w:rsidRPr="005F775E" w:rsidRDefault="005F775E" w:rsidP="005F7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VSP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75E" w:rsidRPr="005F775E" w:rsidRDefault="005F775E">
            <w:pPr>
              <w:rPr>
                <w:rFonts w:ascii="Arial" w:hAnsi="Arial" w:cs="Arial"/>
                <w:sz w:val="20"/>
                <w:szCs w:val="20"/>
              </w:rPr>
            </w:pPr>
            <w:r w:rsidRPr="005F775E">
              <w:rPr>
                <w:rFonts w:ascii="Arial" w:eastAsia="Times New Roman" w:hAnsi="Arial" w:cs="Arial"/>
                <w:sz w:val="20"/>
                <w:szCs w:val="20"/>
              </w:rPr>
              <w:t>Trading suspended</w:t>
            </w:r>
          </w:p>
        </w:tc>
      </w:tr>
    </w:tbl>
    <w:p w:rsidR="005F775E" w:rsidRPr="005F775E" w:rsidRDefault="005F775E">
      <w:pPr>
        <w:rPr>
          <w:rFonts w:ascii="Arial" w:hAnsi="Arial" w:cs="Arial"/>
          <w:sz w:val="20"/>
          <w:szCs w:val="20"/>
        </w:rPr>
      </w:pPr>
    </w:p>
    <w:p w:rsidR="005F775E" w:rsidRPr="005F775E" w:rsidRDefault="005F775E">
      <w:pPr>
        <w:rPr>
          <w:rFonts w:ascii="Arial" w:hAnsi="Arial" w:cs="Arial"/>
          <w:sz w:val="20"/>
          <w:szCs w:val="20"/>
        </w:rPr>
      </w:pPr>
      <w:r w:rsidRPr="005F775E">
        <w:rPr>
          <w:rFonts w:ascii="Arial" w:hAnsi="Arial" w:cs="Arial"/>
          <w:sz w:val="20"/>
          <w:szCs w:val="20"/>
        </w:rPr>
        <w:t xml:space="preserve">Reason: </w:t>
      </w:r>
    </w:p>
    <w:p w:rsidR="005F775E" w:rsidRPr="005F775E" w:rsidRDefault="005F775E" w:rsidP="005F77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775E">
        <w:rPr>
          <w:rFonts w:ascii="Arial" w:hAnsi="Arial" w:cs="Arial"/>
          <w:sz w:val="20"/>
          <w:szCs w:val="20"/>
        </w:rPr>
        <w:t>Late in information disclosure of Reviewed Semi- annual Financial statement 2018 (over 30 days)</w:t>
      </w:r>
    </w:p>
    <w:p w:rsidR="005F775E" w:rsidRPr="005F775E" w:rsidRDefault="005F775E" w:rsidP="005F775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F775E">
        <w:rPr>
          <w:rFonts w:ascii="Arial" w:hAnsi="Arial" w:cs="Arial"/>
          <w:sz w:val="20"/>
          <w:szCs w:val="20"/>
        </w:rPr>
        <w:t xml:space="preserve">For the stocks have normal trading status, is they continue to be late in submit information (over 45 days), they </w:t>
      </w:r>
      <w:r w:rsidR="00A06B32">
        <w:rPr>
          <w:rFonts w:ascii="Arial" w:hAnsi="Arial" w:cs="Arial"/>
          <w:sz w:val="20"/>
          <w:szCs w:val="20"/>
        </w:rPr>
        <w:t>shall</w:t>
      </w:r>
      <w:r w:rsidRPr="005F775E">
        <w:rPr>
          <w:rFonts w:ascii="Arial" w:hAnsi="Arial" w:cs="Arial"/>
          <w:sz w:val="20"/>
          <w:szCs w:val="20"/>
        </w:rPr>
        <w:t xml:space="preserve"> be put in </w:t>
      </w:r>
      <w:r w:rsidR="00192C42">
        <w:rPr>
          <w:rFonts w:ascii="Arial" w:eastAsia="Times New Roman" w:hAnsi="Arial" w:cs="Arial"/>
          <w:sz w:val="20"/>
          <w:szCs w:val="20"/>
        </w:rPr>
        <w:t>t</w:t>
      </w:r>
      <w:r w:rsidRPr="005F775E">
        <w:rPr>
          <w:rFonts w:ascii="Arial" w:eastAsia="Times New Roman" w:hAnsi="Arial" w:cs="Arial"/>
          <w:sz w:val="20"/>
          <w:szCs w:val="20"/>
        </w:rPr>
        <w:t>rading suspended status</w:t>
      </w:r>
      <w:r>
        <w:rPr>
          <w:rFonts w:ascii="Arial" w:eastAsia="Times New Roman" w:hAnsi="Arial" w:cs="Arial"/>
          <w:sz w:val="20"/>
          <w:szCs w:val="20"/>
        </w:rPr>
        <w:t>.</w:t>
      </w:r>
    </w:p>
    <w:sectPr w:rsidR="005F775E" w:rsidRPr="005F7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0428"/>
    <w:multiLevelType w:val="hybridMultilevel"/>
    <w:tmpl w:val="9F946608"/>
    <w:lvl w:ilvl="0" w:tplc="BA0CF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5E"/>
    <w:rsid w:val="000B28CD"/>
    <w:rsid w:val="00180BAE"/>
    <w:rsid w:val="00192C42"/>
    <w:rsid w:val="001E2327"/>
    <w:rsid w:val="005F775E"/>
    <w:rsid w:val="00A06B32"/>
    <w:rsid w:val="00D8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7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7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Phuong Thao</dc:creator>
  <cp:lastModifiedBy>Hoang Phuong Thao</cp:lastModifiedBy>
  <cp:revision>2</cp:revision>
  <dcterms:created xsi:type="dcterms:W3CDTF">2018-09-20T03:09:00Z</dcterms:created>
  <dcterms:modified xsi:type="dcterms:W3CDTF">2018-09-20T03:09:00Z</dcterms:modified>
</cp:coreProperties>
</file>